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D1970" w:rsidP="00111392">
            <w:r>
              <w:rPr>
                <w:rFonts w:hint="eastAsia"/>
              </w:rPr>
              <w:t>病児・病後児保育事業登録申請書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D1970" w:rsidP="00111392">
            <w:r>
              <w:rPr>
                <w:rFonts w:hint="eastAsia"/>
              </w:rPr>
              <w:t>病児・病後児保育事業利用の資格審査及び保育料に係る課税額調査のため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D1970" w:rsidP="002D1970">
            <w:r>
              <w:rPr>
                <w:rFonts w:hint="eastAsia"/>
              </w:rPr>
              <w:t>１氏名、２住所、３性別、４生年月日・年齢、５電話番号、６印影</w:t>
            </w:r>
            <w:r w:rsidR="001F16AF">
              <w:rPr>
                <w:rFonts w:hint="eastAsia"/>
              </w:rPr>
              <w:t>、７職業・職歴、８課税額、９</w:t>
            </w:r>
            <w:r>
              <w:rPr>
                <w:rFonts w:hint="eastAsia"/>
              </w:rPr>
              <w:t>性格、10</w:t>
            </w:r>
            <w:r w:rsidR="001F16AF">
              <w:rPr>
                <w:rFonts w:hint="eastAsia"/>
              </w:rPr>
              <w:t>家族状況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D1970" w:rsidP="00111392">
            <w:r>
              <w:rPr>
                <w:rFonts w:hint="eastAsia"/>
              </w:rPr>
              <w:t>病児・病後児保育事業利用の児童及びその世帯</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2D1970" w:rsidP="00111392">
            <w:r>
              <w:rPr>
                <w:rFonts w:hint="eastAsia"/>
              </w:rPr>
              <w:t>本人から提出された登録申請書を病児保育事業所を通じ収集</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D1970"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16AF"/>
    <w:rsid w:val="0025627D"/>
    <w:rsid w:val="002D1970"/>
    <w:rsid w:val="00300CDD"/>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EB1EF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19</cp:revision>
  <cp:lastPrinted>2022-08-29T04:55:00Z</cp:lastPrinted>
  <dcterms:created xsi:type="dcterms:W3CDTF">2022-06-28T06:42:00Z</dcterms:created>
  <dcterms:modified xsi:type="dcterms:W3CDTF">2023-07-31T00:49:00Z</dcterms:modified>
</cp:coreProperties>
</file>